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CF03" w14:textId="77777777" w:rsidR="00113020" w:rsidRDefault="002A2A44">
      <w:pPr>
        <w:rPr>
          <w:rFonts w:ascii="Times New Roman" w:hAnsi="Times New Roman" w:cs="Times New Roman"/>
          <w:b/>
          <w:i/>
          <w:iCs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b/>
          <w:sz w:val="24"/>
          <w:szCs w:val="24"/>
          <w:lang w:val="pl-PL"/>
        </w:rPr>
        <w:t>Tytuł: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Analiza struktury genomów bakterii z rodzaju </w:t>
      </w:r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>Chlamydia</w:t>
      </w:r>
    </w:p>
    <w:p w14:paraId="1B1D7CC9" w14:textId="77777777" w:rsidR="008F2CDC" w:rsidRPr="00750408" w:rsidRDefault="008F2CDC" w:rsidP="00520750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l-PL"/>
        </w:rPr>
        <w:t>Słowa kluczowe: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>Chlamydiaceae</w:t>
      </w:r>
      <w:proofErr w:type="spellEnd"/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iCs/>
          <w:sz w:val="24"/>
          <w:szCs w:val="24"/>
          <w:lang w:val="pl-PL"/>
        </w:rPr>
        <w:t>C. abortus</w:t>
      </w:r>
      <w:r w:rsidR="00750408">
        <w:rPr>
          <w:rFonts w:ascii="Times New Roman" w:hAnsi="Times New Roman" w:cs="Times New Roman"/>
          <w:iCs/>
          <w:sz w:val="24"/>
          <w:szCs w:val="24"/>
          <w:lang w:val="pl-PL"/>
        </w:rPr>
        <w:t>, WGS</w:t>
      </w:r>
      <w:r w:rsidR="0052075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, </w:t>
      </w:r>
      <w:proofErr w:type="spellStart"/>
      <w:r w:rsidR="00520750">
        <w:rPr>
          <w:rFonts w:ascii="Times New Roman" w:hAnsi="Times New Roman" w:cs="Times New Roman"/>
          <w:iCs/>
          <w:sz w:val="24"/>
          <w:szCs w:val="24"/>
          <w:lang w:val="pl-PL"/>
        </w:rPr>
        <w:t>Illumina</w:t>
      </w:r>
      <w:proofErr w:type="spellEnd"/>
      <w:r w:rsidR="00520750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, </w:t>
      </w:r>
      <w:proofErr w:type="spellStart"/>
      <w:r w:rsidR="00520750">
        <w:rPr>
          <w:rFonts w:ascii="Times New Roman" w:hAnsi="Times New Roman" w:cs="Times New Roman"/>
          <w:iCs/>
          <w:sz w:val="24"/>
          <w:szCs w:val="24"/>
          <w:lang w:val="pl-PL"/>
        </w:rPr>
        <w:t>Nanopore</w:t>
      </w:r>
      <w:proofErr w:type="spellEnd"/>
    </w:p>
    <w:p w14:paraId="5548E490" w14:textId="77777777" w:rsidR="008F2CDC" w:rsidRPr="008F2CDC" w:rsidRDefault="008F2CDC" w:rsidP="008F2CDC">
      <w:p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b/>
          <w:sz w:val="24"/>
          <w:szCs w:val="24"/>
          <w:lang w:val="pl-PL"/>
        </w:rPr>
        <w:t>Streszczenie</w:t>
      </w:r>
    </w:p>
    <w:p w14:paraId="68755555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Bakterie należące do rodziny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Chlamydiaceae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rodzaju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są rozpowszechnione na całym świecie i występują zarówno u ludzi, jak również zwierząt hodowlanych oraz wolno żyjących. Zwłaszcza ptaki i gady są częstym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 gospodarzami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dla chlamydii, a ich powszechnie obserwowana zdolność do przełamywania bariery gatunkowej powoduje, że określone gatunki mogą występować u różnych gospodarzy. Niektóre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spp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wykazują potencjał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zoonotyczny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stanowiąc zagrożenie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dla zdrowia publicznego. Zgodnie z aktualnie obowiązującą taksonomią, do rodzaju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zalicza się 15 scharakteryzowanych gatunków: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avium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crocodili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buteonis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caviae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felis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muridarum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pecorum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pneumoniae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poikilotherma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serpentis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suis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trachomatis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oraz cztery taksony o statusie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Candidatus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Cand</w:t>
      </w:r>
      <w:proofErr w:type="spellEnd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corallus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Cand</w:t>
      </w:r>
      <w:proofErr w:type="spellEnd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ibidis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Cand</w:t>
      </w:r>
      <w:proofErr w:type="spellEnd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sanzinia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Cand</w:t>
      </w:r>
      <w:proofErr w:type="spellEnd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.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testudinis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85782BB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Wielkość genomu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spp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wynosi ~1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Mpz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a większość gatunków posiada plazmid. Pomimo dużej konserwatywności, w ich genomach występują regiony, które wykazują dużą zmienność genetyczną m.in. gen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omp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plasticity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zone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system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sekrecyjny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typu III, 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>białka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błony ciałka wtrętowego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Inc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oraz polimorficzne białka błonowe. Część genów wchodzących w skład tych regionów uważana jest za geny wirulencji. </w:t>
      </w:r>
    </w:p>
    <w:p w14:paraId="503F2C81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>Ciągły rozwój technologii sekwencjonowania nowej generacji oraz rosnąca liczba dostępnych genomów w publicznych bazach 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nych znacząco zwiększyły wiedzę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na temat ewolucji, filogenezy, struktury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genomu, procesów metabolicznych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oraz potencjalnych czynników wirulencji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spp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Podejście hybrydowe, wykorzystujące zarówno techniki sekwencjonowania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II generacji (krótkie odczyty),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jak również III generacji (długie odczyty), jest obecnie uważane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za złoty standard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w genomice. </w:t>
      </w:r>
    </w:p>
    <w:p w14:paraId="229B3259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Celem przeprowadzonych badań było poznanie struktury genomów wybranych przedstawicieli bakterii z rodzaju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. W badania zostały włączone</w:t>
      </w:r>
      <w:r w:rsidRPr="008F2CD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szczepy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uzyskane z materiału biologicznego pochodzącego od ptaków wolno żyjących, wymazy z kloaki pobrane od kur oraz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szczep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wyizolowany od kury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w Polsce.</w:t>
      </w:r>
    </w:p>
    <w:p w14:paraId="36E73FDF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W przeprowadzonych badaniach uzyskano pełne sekwencje genomowe dla trzech szczepów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wyizolowanych od ptaków należących do rodzin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Anatidae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Corvidae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Wykazano, że wyizolowane szczepy są ze sobą blisko spokrewnione wykazując co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najmniej 97,23% średniego podobieństwa nukleotydów. Stwierdzono również, że szczepy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, w przeciwi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eństwie do klasycznych szczepów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izolowanych od ssaków, posiadają plazmid wykazujący największe podobieństwo do plazmidów występujących w szczepach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W regionie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plasticity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zone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szczepów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wykazano ob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ecność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cytotoksyny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uważanej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za czynnik wirulencji, która nie występuje w klasycznych szczepach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, co może wskazywać na potencjał patogenny. Na podstawie analizy porównawczej sekwencji genomowych oraz aktualnie obowiązujących zasad klasyfikac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ji bakterii należących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do rzędu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Chlamydiales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dowiedziono, że szczepy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pomimo wykazywania cech pośrednich pomiędzy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a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ostatecznie powinny zostać włączone do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Stwierdzono również, że definicja gatunku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która wskazuje, że stanowi go grupa monofiletycznych szczepów będących przyczyną ronień u ssaków, powinna zostać rozszerzona o szczepy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izolowane od ptaków.  </w:t>
      </w:r>
    </w:p>
    <w:p w14:paraId="608A290C" w14:textId="77777777" w:rsidR="008F2CDC" w:rsidRPr="008F2CDC" w:rsidRDefault="008F2CDC" w:rsidP="008F2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Analiza porównawcza sekwencji genomowych szczepów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wyizolowanych w Polsce wykazała, że są ze sobą blisko spokrewnione 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wykazują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co najmniej 99,46% średniego podobieństwa nukleotydów. Ich genomy posiadają konserwatywną strukturę obejmującą: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plasticity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zone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(tzw. strefa plastyczności), system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sekrecyjny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typu III, 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polimorficzne białka błonowe, białka błony ciałka wtrętowego </w:t>
      </w:r>
      <w:proofErr w:type="spellStart"/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>Inc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białka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histonopodobne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B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egzoenzym CPAF oraz plazmidy. Dowiedziono również, że niektóre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loci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tj. geny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omp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geny kodujące białka metabolizmu podstawowego wykazują duże zróżnicowanie genetyczne, co jest wystarczające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aby umożliwić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genotypowanie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prowadzenie monitoringu epidemiologicznego. Wykazano również, że szczepy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krążące w populacji drobiu w Polsce posiadają geny wirulencji, w tym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cytotoksynę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>białka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błony ciałka wtrętowego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Inc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F2CDC">
        <w:rPr>
          <w:rFonts w:ascii="Times New Roman" w:hAnsi="Times New Roman" w:cs="Times New Roman"/>
          <w:iCs/>
          <w:sz w:val="24"/>
          <w:szCs w:val="24"/>
          <w:lang w:val="pl-PL"/>
        </w:rPr>
        <w:t>polimorficzne białka błonowe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, białka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histonopodobne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>B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>, egzoenzym CPAF, T3SS oraz efektory T3SS – SINC i TARP – zaangażowane w patogenezę.</w:t>
      </w:r>
    </w:p>
    <w:p w14:paraId="2F55A5CD" w14:textId="77777777" w:rsidR="008F2CDC" w:rsidRPr="008F2CDC" w:rsidRDefault="008F2CDC" w:rsidP="008F2CD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Przeprowadzone badania przyczyniły się do wzbogacenia baz danych o nowe sekwencje genomowe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(G1, G2 i 1V) oraz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. Uzyskane wyniki mogą stać się przyczynkiem do przeprowadzenia dalszych badań wykraczających poza genomikę porównawczą w celu określenia patogennego potencjału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pl-PL"/>
        </w:rPr>
        <w:t>avian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pl-PL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 oraz ocenie ich ewentualnego znaczenia dla zdrowia publicznego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pl-PL"/>
        </w:rPr>
        <w:t xml:space="preserve">i przemysłu drobiarskiego. </w:t>
      </w:r>
    </w:p>
    <w:p w14:paraId="03C6674B" w14:textId="77777777" w:rsidR="008F2CDC" w:rsidRPr="008F2CDC" w:rsidRDefault="008F2CDC" w:rsidP="008F2CDC">
      <w:p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146694545"/>
      <w:r w:rsidRPr="008F2CDC">
        <w:rPr>
          <w:rFonts w:ascii="Times New Roman" w:hAnsi="Times New Roman" w:cs="Times New Roman"/>
          <w:b/>
          <w:sz w:val="24"/>
          <w:szCs w:val="24"/>
        </w:rPr>
        <w:t>7. Summary</w:t>
      </w:r>
      <w:bookmarkEnd w:id="0"/>
    </w:p>
    <w:p w14:paraId="6D75561A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Bacteria belonging to the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Chlamydiaceae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family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genus are widespread worldwide and may occur in humans as well as in domestic and free-living animals. Birds and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reptiles are particularly common hosts. Due to the well-known ability of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chlamydiae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to cross the species barrier, some species may occur in different hosts. Some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spp. may have zoonotic potential, posing a threat to public health. According to the current taxonomy, the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genus includes 15 characterized species as well as four taxa with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Candidatus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status. The characterized specie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 are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avium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crocodili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buteonis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caviae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felis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muridarum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pecorum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pneumoniae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poikilotherma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serpentis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suis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trachomatis, </w:t>
      </w:r>
      <w:r w:rsidRPr="008F2CDC">
        <w:rPr>
          <w:rFonts w:ascii="Times New Roman" w:hAnsi="Times New Roman" w:cs="Times New Roman"/>
          <w:iCs/>
          <w:sz w:val="24"/>
          <w:szCs w:val="24"/>
          <w:lang w:val="en"/>
        </w:rPr>
        <w:t xml:space="preserve">and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those with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Candidatus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status are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Cand.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corallus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Cand.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ibidis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Cand.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sanzinia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Cand.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C.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testudinis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49750394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The size of the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spp. genome is ~1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Mbp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most of the species possess a plasmid. Despite being highly conserved, their genomes have regions presenting high variability, including the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omp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gene, the plasticity zone, the type III secretion system, </w:t>
      </w:r>
      <w:r w:rsidRPr="008F2CDC">
        <w:rPr>
          <w:rFonts w:ascii="Times New Roman" w:hAnsi="Times New Roman" w:cs="Times New Roman"/>
          <w:sz w:val="24"/>
          <w:szCs w:val="24"/>
        </w:rPr>
        <w:t>inclusion membrane proteins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polymorphic membrane proteins. Some of the genes included in these regions are considered virulence factors.</w:t>
      </w:r>
    </w:p>
    <w:p w14:paraId="29172068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>Continuous development of next-gen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eration sequencing technologies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and the growing number of available genomes in public databases have significantly increased knowledge about the evolution, phylogeny, genome structure, metabolic processes and potential virulence factors of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spp. A hybrid approach supplies much of this knowledge, using both second-g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eneration sequencing techniques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(short reads) and third-generation techniques (long reads), and this approach is currently considered the gold standard in genomics.</w:t>
      </w:r>
    </w:p>
    <w:p w14:paraId="7742EEE0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The aim of the study was to analyze the genome structure of selected representatives of the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Chlamydia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genus. The survey included avian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 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obtained from biological material of free-living birds, cloacal swabs taken from chickens and a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 isolated from a chicken in Poland.</w:t>
      </w:r>
    </w:p>
    <w:p w14:paraId="5DD2F0F3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In the conducted research, the full genome sequences were obtained for the three avian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isolated from birds belonging to the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Anatidae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Corvidae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families. It was proved that the isolated strains are closely related, showing at least 97.23% average nucleotide identity. It was also found that the avian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="00F96B6F">
        <w:rPr>
          <w:rFonts w:ascii="Times New Roman" w:hAnsi="Times New Roman" w:cs="Times New Roman"/>
          <w:sz w:val="24"/>
          <w:szCs w:val="24"/>
          <w:lang w:val="en"/>
        </w:rPr>
        <w:t xml:space="preserve"> strains,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in contrast to classical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isolated from mamm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als, possess a plasmid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that is most similar to those found in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strains. In the plasticity zone of the avian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strains, the presence of a cytotoxin gene absent in classical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was detected, this gene being considered a virulence factor and a possible indicat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or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of these strains’ pathogenic potential. Based on the comparative genomic analysis as well as currently established rules for the classification of bacteria belonging to the order </w:t>
      </w:r>
      <w:proofErr w:type="spellStart"/>
      <w:r w:rsidRPr="008F2CDC">
        <w:rPr>
          <w:rFonts w:ascii="Times New Roman" w:hAnsi="Times New Roman" w:cs="Times New Roman"/>
          <w:sz w:val="24"/>
          <w:szCs w:val="24"/>
          <w:lang w:val="en"/>
        </w:rPr>
        <w:t>Chlamydiales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>, it was proved that despite showin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g intermediate features between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psittaci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the avian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should be assigned to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lastRenderedPageBreak/>
        <w:t>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. Furthermore, it was concluded that the definition of the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specie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s,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which indicates that it is a group of monophyletic strains causing abortions in mammals, should be expanded to also include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isolated from birds.</w:t>
      </w:r>
    </w:p>
    <w:p w14:paraId="00727193" w14:textId="77777777" w:rsidR="008F2CDC" w:rsidRPr="008F2CDC" w:rsidRDefault="008F2CDC" w:rsidP="008F2C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Comparative genomic analysis of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isolated in Poland revealed that they are closely related, presenting at least 99.46% average nucleotide identity. Their genomes possess a conserved structure including a plasticity zone, a type III secretion system, polymorphic membrane proteins, inclusion membrane proteins, the histone-like proteins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B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exoenzyme CPAF and plasmids. It was also proved that some loci, such as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omp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housekeeping genes, demonstra</w:t>
      </w:r>
      <w:r w:rsidR="00F96B6F">
        <w:rPr>
          <w:rFonts w:ascii="Times New Roman" w:hAnsi="Times New Roman" w:cs="Times New Roman"/>
          <w:sz w:val="24"/>
          <w:szCs w:val="24"/>
          <w:lang w:val="en"/>
        </w:rPr>
        <w:t xml:space="preserve">te high genetic diversity which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is sufficient </w:t>
      </w:r>
      <w:r w:rsidRPr="008F2CDC">
        <w:rPr>
          <w:rFonts w:ascii="Times New Roman" w:hAnsi="Times New Roman" w:cs="Times New Roman"/>
          <w:sz w:val="24"/>
          <w:szCs w:val="24"/>
        </w:rPr>
        <w:t>to enable high-resolution genotyping and epidemiological tracing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. Moreover, it was demonstrated that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strains circulating in the population of poultry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in Poland possess virulence genes, including a cytotoxin gene, inclusion membrane proteins, polymorphic membrane proteins, the histone-like proteins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hct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B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, exoenzyme CPAF, T3SS, and the T3SS effectors SINC and TARP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involved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in pathogenesis.</w:t>
      </w:r>
    </w:p>
    <w:p w14:paraId="417BB8F8" w14:textId="77777777" w:rsidR="002A2A44" w:rsidRPr="008F2CDC" w:rsidRDefault="008F2CDC" w:rsidP="008F2CDC">
      <w:pPr>
        <w:spacing w:line="360" w:lineRule="auto"/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The conducted research contributed to the enrichment of databases with new genome sequences of avian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 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(G1, G2 and 1V)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 w:rsidRPr="008F2CDC">
        <w:rPr>
          <w:rFonts w:ascii="Times New Roman" w:hAnsi="Times New Roman" w:cs="Times New Roman"/>
          <w:sz w:val="24"/>
          <w:szCs w:val="24"/>
          <w:lang w:val="en"/>
        </w:rPr>
        <w:t>. The obtained results may provide foundation material for further research beyond comparative genomics to clarify the pathogenic potential of avian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 C. abortus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 and </w:t>
      </w:r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 xml:space="preserve">C. </w:t>
      </w:r>
      <w:proofErr w:type="spellStart"/>
      <w:r w:rsidRPr="008F2CDC">
        <w:rPr>
          <w:rFonts w:ascii="Times New Roman" w:hAnsi="Times New Roman" w:cs="Times New Roman"/>
          <w:i/>
          <w:sz w:val="24"/>
          <w:szCs w:val="24"/>
          <w:lang w:val="en"/>
        </w:rPr>
        <w:t>gallinacea</w:t>
      </w:r>
      <w:proofErr w:type="spellEnd"/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 xml:space="preserve">and </w:t>
      </w:r>
      <w:r w:rsidRPr="008F2CDC">
        <w:rPr>
          <w:rFonts w:ascii="Times New Roman" w:hAnsi="Times New Roman" w:cs="Times New Roman"/>
          <w:sz w:val="24"/>
          <w:szCs w:val="24"/>
        </w:rPr>
        <w:t xml:space="preserve">determine its significance for </w:t>
      </w:r>
      <w:r w:rsidRPr="008F2CDC">
        <w:rPr>
          <w:rFonts w:ascii="Times New Roman" w:hAnsi="Times New Roman" w:cs="Times New Roman"/>
          <w:sz w:val="24"/>
          <w:szCs w:val="24"/>
          <w:lang w:val="en"/>
        </w:rPr>
        <w:t>public health and the poultry industry.</w:t>
      </w:r>
    </w:p>
    <w:sectPr w:rsidR="002A2A44" w:rsidRPr="008F2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5A"/>
    <w:rsid w:val="00101D5A"/>
    <w:rsid w:val="00113020"/>
    <w:rsid w:val="002A2A44"/>
    <w:rsid w:val="002D227A"/>
    <w:rsid w:val="00520750"/>
    <w:rsid w:val="00750408"/>
    <w:rsid w:val="008F2CDC"/>
    <w:rsid w:val="00D0391F"/>
    <w:rsid w:val="00E34AFB"/>
    <w:rsid w:val="00F9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54C1"/>
  <w15:chartTrackingRefBased/>
  <w15:docId w15:val="{7A129CCA-A1CF-419C-A0A7-2FD7234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Zaręba</dc:creator>
  <cp:keywords/>
  <dc:description/>
  <cp:lastModifiedBy>K. Stateczna</cp:lastModifiedBy>
  <cp:revision>2</cp:revision>
  <dcterms:created xsi:type="dcterms:W3CDTF">2024-02-26T08:27:00Z</dcterms:created>
  <dcterms:modified xsi:type="dcterms:W3CDTF">2024-02-26T08:27:00Z</dcterms:modified>
</cp:coreProperties>
</file>